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附件3</w:t>
      </w:r>
    </w:p>
    <w:p>
      <w:pPr>
        <w:shd w:val="clear" w:color="auto" w:fill="FFFFFF"/>
        <w:spacing w:line="594" w:lineRule="exact"/>
        <w:jc w:val="left"/>
        <w:rPr>
          <w:rFonts w:eastAsia="方正小标宋简体" w:cs="方正小标宋简体"/>
          <w:sz w:val="44"/>
          <w:szCs w:val="44"/>
        </w:rPr>
      </w:pPr>
    </w:p>
    <w:p>
      <w:pPr>
        <w:shd w:val="clear" w:color="auto" w:fill="FFFFFF"/>
        <w:spacing w:line="594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《电梯监督检验和定期检验规则—消防员</w:t>
      </w:r>
    </w:p>
    <w:p>
      <w:pPr>
        <w:shd w:val="clear" w:color="auto" w:fill="FFFFFF"/>
        <w:spacing w:line="594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电梯》（</w:t>
      </w:r>
      <w:r>
        <w:rPr>
          <w:rFonts w:hint="eastAsia" w:ascii="方正小标宋简体" w:eastAsia="方正小标宋简体" w:cs="方正小标宋简体"/>
          <w:sz w:val="44"/>
          <w:szCs w:val="44"/>
        </w:rPr>
        <w:t>TSG T7002-2011，2017年</w:t>
      </w:r>
    </w:p>
    <w:p>
      <w:pPr>
        <w:shd w:val="clear" w:color="auto" w:fill="FFFFFF"/>
        <w:spacing w:line="594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第2次修改）第3号修改单</w:t>
      </w:r>
    </w:p>
    <w:p>
      <w:pPr>
        <w:shd w:val="clear" w:color="auto" w:fill="FFFFFF"/>
        <w:spacing w:line="594" w:lineRule="exact"/>
        <w:jc w:val="center"/>
        <w:rPr>
          <w:rFonts w:eastAsia="方正小标宋简体" w:cs="方正小标宋简体"/>
          <w:sz w:val="36"/>
          <w:szCs w:val="36"/>
        </w:rPr>
      </w:pPr>
    </w:p>
    <w:p>
      <w:pPr>
        <w:spacing w:line="594" w:lineRule="exact"/>
        <w:ind w:firstLine="628" w:firstLineChars="200"/>
        <w:rPr>
          <w:rFonts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</w:rPr>
        <w:t>一、正文修改</w:t>
      </w:r>
    </w:p>
    <w:p>
      <w:pPr>
        <w:spacing w:line="594" w:lineRule="exact"/>
        <w:ind w:firstLine="644" w:firstLineChars="200"/>
        <w:jc w:val="left"/>
        <w:rPr>
          <w:rFonts w:eastAsia="仿宋_GB2312" w:cs="仿宋_GB2312"/>
          <w:bCs/>
          <w:spacing w:val="4"/>
          <w:sz w:val="32"/>
          <w:szCs w:val="32"/>
        </w:rPr>
      </w:pPr>
      <w:r>
        <w:rPr>
          <w:rFonts w:hint="eastAsia" w:eastAsia="仿宋_GB2312" w:cs="仿宋_GB2312"/>
          <w:bCs/>
          <w:spacing w:val="4"/>
          <w:sz w:val="32"/>
          <w:szCs w:val="32"/>
        </w:rPr>
        <w:t>将</w:t>
      </w:r>
      <w:r>
        <w:rPr>
          <w:rFonts w:hint="eastAsia" w:eastAsia="仿宋_GB2312" w:cs="仿宋_GB2312"/>
          <w:bCs/>
          <w:sz w:val="32"/>
          <w:szCs w:val="32"/>
        </w:rPr>
        <w:t>正文中出现的</w:t>
      </w:r>
      <w:r>
        <w:rPr>
          <w:rFonts w:hint="eastAsia" w:eastAsia="仿宋_GB2312" w:cs="仿宋_GB2312"/>
          <w:sz w:val="32"/>
          <w:szCs w:val="32"/>
        </w:rPr>
        <w:t>“国家质量监督检验检疫总局”和“国家质检总局”分别修改为“国家市场监督管理总局”和“市场监管总局”。</w:t>
      </w:r>
    </w:p>
    <w:p>
      <w:pPr>
        <w:spacing w:line="594" w:lineRule="exact"/>
        <w:ind w:firstLine="628" w:firstLineChars="200"/>
        <w:rPr>
          <w:rFonts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</w:rPr>
        <w:t>二、附件A修改</w:t>
      </w:r>
    </w:p>
    <w:p>
      <w:pPr>
        <w:spacing w:line="594" w:lineRule="exact"/>
        <w:ind w:firstLine="628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1. 删除1.2（3），序号1.2（4）、1.2（5）、1.2（6）、1.2（7）相应地调整为1.2（3）、1.2（4）、1.2（5）、1.2（6）；</w:t>
      </w:r>
    </w:p>
    <w:p>
      <w:pPr>
        <w:spacing w:line="594" w:lineRule="exact"/>
        <w:ind w:firstLine="628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 将1.2的检验方法修改为“审查相应资料。（1）～（3）在报检时审查，（3）在其他项目检验时还应当审查；（4）、（5）在试验时审查；（6）在竣工后审查”；</w:t>
      </w:r>
    </w:p>
    <w:p>
      <w:pPr>
        <w:spacing w:line="594" w:lineRule="exact"/>
        <w:ind w:firstLine="628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3. 将1.3（2）中的“（改造不得涉及加装自动救援操作装置、能量回馈节能装置和IC卡系统）”修改为“（改造、重大修理不得涉及加装自动救援操作装置、能量回馈节能装置和IC卡系统）”；</w:t>
      </w:r>
    </w:p>
    <w:p>
      <w:pPr>
        <w:spacing w:line="594" w:lineRule="exact"/>
        <w:ind w:firstLine="628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4. 将1.4（2）中的“安全技术档案，至少包括1.1、1.2、1.3 所述文件资料</w:t>
      </w:r>
      <w:r>
        <w:rPr>
          <w:rFonts w:hint="eastAsia" w:ascii="仿宋_GB2312" w:eastAsia="仿宋_GB2312" w:cs="仿宋_GB2312"/>
          <w:sz w:val="32"/>
          <w:szCs w:val="32"/>
        </w:rPr>
        <w:t>[</w:t>
      </w:r>
      <w:r>
        <w:rPr>
          <w:rFonts w:hint="eastAsia" w:eastAsia="仿宋_GB2312" w:cs="仿宋_GB2312"/>
          <w:sz w:val="32"/>
          <w:szCs w:val="32"/>
        </w:rPr>
        <w:t>1.2（3）和1.3（</w:t>
      </w:r>
      <w:r>
        <w:rPr>
          <w:rFonts w:eastAsia="仿宋_GB2312" w:cs="仿宋_GB2312"/>
          <w:sz w:val="32"/>
          <w:szCs w:val="32"/>
        </w:rPr>
        <w:t>4</w:t>
      </w:r>
      <w:r>
        <w:rPr>
          <w:rFonts w:hint="eastAsia" w:eastAsia="仿宋_GB2312" w:cs="仿宋_GB2312"/>
          <w:sz w:val="32"/>
          <w:szCs w:val="32"/>
        </w:rPr>
        <w:t>）除外</w:t>
      </w:r>
      <w:r>
        <w:rPr>
          <w:rFonts w:hint="eastAsia" w:ascii="仿宋_GB2312" w:eastAsia="仿宋_GB2312" w:cs="仿宋_GB2312"/>
          <w:sz w:val="32"/>
          <w:szCs w:val="32"/>
        </w:rPr>
        <w:t>]</w:t>
      </w:r>
      <w:r>
        <w:rPr>
          <w:rFonts w:hint="eastAsia" w:eastAsia="仿宋_GB2312" w:cs="仿宋_GB2312"/>
          <w:sz w:val="32"/>
          <w:szCs w:val="32"/>
        </w:rPr>
        <w:t>，”修改为“安全技术档案，至少包括1.1、1.2、1.3所述文件资料</w:t>
      </w:r>
      <w:r>
        <w:rPr>
          <w:rFonts w:hint="eastAsia" w:ascii="仿宋_GB2312" w:eastAsia="仿宋_GB2312" w:cs="仿宋_GB2312"/>
          <w:sz w:val="32"/>
          <w:szCs w:val="32"/>
        </w:rPr>
        <w:t>[</w:t>
      </w:r>
      <w:r>
        <w:rPr>
          <w:rFonts w:hint="eastAsia" w:eastAsia="仿宋_GB2312" w:cs="仿宋_GB2312"/>
          <w:sz w:val="32"/>
          <w:szCs w:val="32"/>
        </w:rPr>
        <w:t>1.3（</w:t>
      </w:r>
      <w:r>
        <w:rPr>
          <w:rFonts w:eastAsia="仿宋_GB2312" w:cs="仿宋_GB2312"/>
          <w:sz w:val="32"/>
          <w:szCs w:val="32"/>
        </w:rPr>
        <w:t>4</w:t>
      </w:r>
      <w:r>
        <w:rPr>
          <w:rFonts w:hint="eastAsia" w:eastAsia="仿宋_GB2312" w:cs="仿宋_GB2312"/>
          <w:sz w:val="32"/>
          <w:szCs w:val="32"/>
        </w:rPr>
        <w:t>）除外</w:t>
      </w:r>
      <w:r>
        <w:rPr>
          <w:rFonts w:hint="eastAsia" w:ascii="仿宋_GB2312" w:eastAsia="仿宋_GB2312" w:cs="仿宋_GB2312"/>
          <w:sz w:val="32"/>
          <w:szCs w:val="32"/>
        </w:rPr>
        <w:t>]</w:t>
      </w:r>
      <w:r>
        <w:rPr>
          <w:rFonts w:hint="eastAsia" w:eastAsia="仿宋_GB2312" w:cs="仿宋_GB2312"/>
          <w:sz w:val="32"/>
          <w:szCs w:val="32"/>
        </w:rPr>
        <w:t>，”；</w:t>
      </w:r>
    </w:p>
    <w:p>
      <w:pPr>
        <w:spacing w:line="594" w:lineRule="exact"/>
        <w:ind w:firstLine="628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5. 将1.4（5）修改为“按照规定配备的电梯安全管理人员的特种设备作业人员证”。</w:t>
      </w:r>
    </w:p>
    <w:p>
      <w:pPr>
        <w:spacing w:line="594" w:lineRule="exact"/>
        <w:ind w:firstLine="628" w:firstLineChars="200"/>
        <w:rPr>
          <w:rFonts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</w:rPr>
        <w:t>三、附件B修改</w:t>
      </w:r>
    </w:p>
    <w:p>
      <w:pPr>
        <w:spacing w:line="594" w:lineRule="exact"/>
        <w:ind w:firstLine="628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将1.2按照修改后的附件A作对应调整。</w:t>
      </w:r>
    </w:p>
    <w:p>
      <w:pPr>
        <w:spacing w:line="594" w:lineRule="exact"/>
        <w:ind w:firstLine="628" w:firstLineChars="200"/>
        <w:rPr>
          <w:rFonts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</w:rPr>
        <w:t>四、附件C修改</w:t>
      </w:r>
    </w:p>
    <w:p>
      <w:pPr>
        <w:spacing w:line="594" w:lineRule="exact"/>
        <w:ind w:firstLine="628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1. 将</w:t>
      </w:r>
      <w:r>
        <w:rPr>
          <w:rFonts w:eastAsia="仿宋_GB2312" w:cs="仿宋_GB2312"/>
          <w:sz w:val="32"/>
          <w:szCs w:val="32"/>
        </w:rPr>
        <w:t>3</w:t>
      </w:r>
      <w:r>
        <w:rPr>
          <w:rFonts w:hint="eastAsia" w:eastAsia="仿宋_GB2312" w:cs="仿宋_GB2312"/>
          <w:sz w:val="32"/>
          <w:szCs w:val="32"/>
        </w:rPr>
        <w:t>.8（9）修改为“自动救援操作装置[不含</w:t>
      </w:r>
      <w:r>
        <w:rPr>
          <w:rFonts w:eastAsia="仿宋_GB2312" w:cs="仿宋_GB2312"/>
          <w:sz w:val="32"/>
          <w:szCs w:val="32"/>
        </w:rPr>
        <w:t>3</w:t>
      </w:r>
      <w:r>
        <w:rPr>
          <w:rFonts w:hint="eastAsia" w:eastAsia="仿宋_GB2312" w:cs="仿宋_GB2312"/>
          <w:sz w:val="32"/>
          <w:szCs w:val="32"/>
        </w:rPr>
        <w:t>.8（9）①]”;</w:t>
      </w:r>
    </w:p>
    <w:p>
      <w:pPr>
        <w:spacing w:line="594" w:lineRule="exact"/>
        <w:ind w:firstLine="628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 将</w:t>
      </w:r>
      <w:r>
        <w:rPr>
          <w:rFonts w:eastAsia="仿宋_GB2312" w:cs="仿宋_GB2312"/>
          <w:sz w:val="32"/>
          <w:szCs w:val="32"/>
        </w:rPr>
        <w:t>7</w:t>
      </w:r>
      <w:r>
        <w:rPr>
          <w:rFonts w:hint="eastAsia" w:eastAsia="仿宋_GB2312" w:cs="仿宋_GB2312"/>
          <w:sz w:val="32"/>
          <w:szCs w:val="32"/>
        </w:rPr>
        <w:t>.</w:t>
      </w:r>
      <w:r>
        <w:rPr>
          <w:rFonts w:eastAsia="仿宋_GB2312" w:cs="仿宋_GB2312"/>
          <w:sz w:val="32"/>
          <w:szCs w:val="32"/>
        </w:rPr>
        <w:t>8</w:t>
      </w:r>
      <w:r>
        <w:rPr>
          <w:rFonts w:hint="eastAsia" w:eastAsia="仿宋_GB2312" w:cs="仿宋_GB2312"/>
          <w:sz w:val="32"/>
          <w:szCs w:val="32"/>
        </w:rPr>
        <w:t>（1）修改为“层门门锁装置</w:t>
      </w:r>
      <w:r>
        <w:rPr>
          <w:rFonts w:hint="eastAsia" w:ascii="仿宋_GB2312" w:eastAsia="仿宋_GB2312" w:cs="仿宋_GB2312"/>
          <w:sz w:val="32"/>
          <w:szCs w:val="32"/>
        </w:rPr>
        <w:t>[</w:t>
      </w:r>
      <w:r>
        <w:rPr>
          <w:rFonts w:hint="eastAsia" w:eastAsia="仿宋_GB2312" w:cs="仿宋_GB2312"/>
          <w:sz w:val="32"/>
          <w:szCs w:val="32"/>
        </w:rPr>
        <w:t>不含</w:t>
      </w:r>
      <w:r>
        <w:rPr>
          <w:rFonts w:eastAsia="仿宋_GB2312" w:cs="仿宋_GB2312"/>
          <w:sz w:val="32"/>
          <w:szCs w:val="32"/>
        </w:rPr>
        <w:t>7</w:t>
      </w:r>
      <w:r>
        <w:rPr>
          <w:rFonts w:hint="eastAsia" w:eastAsia="仿宋_GB2312" w:cs="仿宋_GB2312"/>
          <w:sz w:val="32"/>
          <w:szCs w:val="32"/>
        </w:rPr>
        <w:t>.</w:t>
      </w:r>
      <w:r>
        <w:rPr>
          <w:rFonts w:eastAsia="仿宋_GB2312" w:cs="仿宋_GB2312"/>
          <w:sz w:val="32"/>
          <w:szCs w:val="32"/>
        </w:rPr>
        <w:t>8</w:t>
      </w:r>
      <w:r>
        <w:rPr>
          <w:rFonts w:hint="eastAsia" w:eastAsia="仿宋_GB2312" w:cs="仿宋_GB2312"/>
          <w:sz w:val="32"/>
          <w:szCs w:val="32"/>
        </w:rPr>
        <w:t>（1）①</w:t>
      </w:r>
      <w:r>
        <w:rPr>
          <w:rFonts w:hint="eastAsia" w:ascii="仿宋_GB2312" w:eastAsia="仿宋_GB2312" w:cs="仿宋_GB2312"/>
          <w:sz w:val="32"/>
          <w:szCs w:val="32"/>
        </w:rPr>
        <w:t>]</w:t>
      </w:r>
      <w:r>
        <w:rPr>
          <w:rFonts w:hint="eastAsia" w:eastAsia="仿宋_GB2312" w:cs="仿宋_GB2312"/>
          <w:sz w:val="32"/>
          <w:szCs w:val="32"/>
        </w:rPr>
        <w:t>”;</w:t>
      </w:r>
    </w:p>
    <w:p>
      <w:pPr>
        <w:spacing w:line="594" w:lineRule="exact"/>
        <w:ind w:firstLine="628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3. 将</w:t>
      </w:r>
      <w:r>
        <w:rPr>
          <w:rFonts w:eastAsia="仿宋_GB2312" w:cs="仿宋_GB2312"/>
          <w:sz w:val="32"/>
          <w:szCs w:val="32"/>
        </w:rPr>
        <w:t>7</w:t>
      </w:r>
      <w:r>
        <w:rPr>
          <w:rFonts w:hint="eastAsia" w:eastAsia="仿宋_GB2312" w:cs="仿宋_GB2312"/>
          <w:sz w:val="32"/>
          <w:szCs w:val="32"/>
        </w:rPr>
        <w:t>.</w:t>
      </w:r>
      <w:r>
        <w:rPr>
          <w:rFonts w:eastAsia="仿宋_GB2312" w:cs="仿宋_GB2312"/>
          <w:sz w:val="32"/>
          <w:szCs w:val="32"/>
        </w:rPr>
        <w:t>8</w:t>
      </w:r>
      <w:r>
        <w:rPr>
          <w:rFonts w:hint="eastAsia" w:eastAsia="仿宋_GB2312" w:cs="仿宋_GB2312"/>
          <w:sz w:val="32"/>
          <w:szCs w:val="32"/>
        </w:rPr>
        <w:t>（2）修改为“轿门门锁装置</w:t>
      </w:r>
      <w:r>
        <w:rPr>
          <w:rFonts w:hint="eastAsia" w:ascii="仿宋_GB2312" w:eastAsia="仿宋_GB2312" w:cs="仿宋_GB2312"/>
          <w:sz w:val="32"/>
          <w:szCs w:val="32"/>
        </w:rPr>
        <w:t>[</w:t>
      </w:r>
      <w:r>
        <w:rPr>
          <w:rFonts w:hint="eastAsia" w:eastAsia="仿宋_GB2312" w:cs="仿宋_GB2312"/>
          <w:sz w:val="32"/>
          <w:szCs w:val="32"/>
        </w:rPr>
        <w:t>不含</w:t>
      </w:r>
      <w:r>
        <w:rPr>
          <w:rFonts w:eastAsia="仿宋_GB2312" w:cs="仿宋_GB2312"/>
          <w:sz w:val="32"/>
          <w:szCs w:val="32"/>
        </w:rPr>
        <w:t>7</w:t>
      </w:r>
      <w:r>
        <w:rPr>
          <w:rFonts w:hint="eastAsia" w:eastAsia="仿宋_GB2312" w:cs="仿宋_GB2312"/>
          <w:sz w:val="32"/>
          <w:szCs w:val="32"/>
        </w:rPr>
        <w:t>.</w:t>
      </w:r>
      <w:r>
        <w:rPr>
          <w:rFonts w:eastAsia="仿宋_GB2312" w:cs="仿宋_GB2312"/>
          <w:sz w:val="32"/>
          <w:szCs w:val="32"/>
        </w:rPr>
        <w:t>8</w:t>
      </w:r>
      <w:r>
        <w:rPr>
          <w:rFonts w:hint="eastAsia" w:eastAsia="仿宋_GB2312" w:cs="仿宋_GB2312"/>
          <w:sz w:val="32"/>
          <w:szCs w:val="32"/>
        </w:rPr>
        <w:t>（1）①</w:t>
      </w:r>
      <w:r>
        <w:rPr>
          <w:rFonts w:hint="eastAsia" w:ascii="仿宋_GB2312" w:eastAsia="仿宋_GB2312" w:cs="仿宋_GB2312"/>
          <w:sz w:val="32"/>
          <w:szCs w:val="32"/>
        </w:rPr>
        <w:t>]</w:t>
      </w:r>
      <w:r>
        <w:rPr>
          <w:rFonts w:hint="eastAsia" w:eastAsia="仿宋_GB2312" w:cs="仿宋_GB2312"/>
          <w:sz w:val="32"/>
          <w:szCs w:val="32"/>
        </w:rPr>
        <w:t>”。</w:t>
      </w:r>
    </w:p>
    <w:p>
      <w:pPr>
        <w:spacing w:line="594" w:lineRule="exact"/>
        <w:ind w:firstLine="468" w:firstLineChars="200"/>
        <w:rPr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985" w:right="1474" w:bottom="1361" w:left="1474" w:header="851" w:footer="1304" w:gutter="0"/>
      <w:pgNumType w:start="29"/>
      <w:cols w:space="425" w:num="1"/>
      <w:docGrid w:type="linesAndChars" w:linePitch="293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14282"/>
      <w:docPartObj>
        <w:docPartGallery w:val="AutoText"/>
      </w:docPartObj>
    </w:sdtPr>
    <w:sdtContent>
      <w:p>
        <w:pPr>
          <w:pStyle w:val="5"/>
          <w:ind w:left="315" w:leftChars="150" w:right="315" w:rightChars="150"/>
          <w:jc w:val="right"/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29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14268"/>
      <w:docPartObj>
        <w:docPartGallery w:val="AutoText"/>
      </w:docPartObj>
    </w:sdtPr>
    <w:sdtContent>
      <w:p>
        <w:pPr>
          <w:pStyle w:val="5"/>
          <w:ind w:left="315" w:leftChars="150" w:right="315" w:rightChars="150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30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evenAndOddHeaders w:val="1"/>
  <w:drawingGridHorizontalSpacing w:val="102"/>
  <w:drawingGridVerticalSpacing w:val="2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52"/>
    <w:rsid w:val="00017865"/>
    <w:rsid w:val="00051635"/>
    <w:rsid w:val="000530CF"/>
    <w:rsid w:val="000572B1"/>
    <w:rsid w:val="00061E4B"/>
    <w:rsid w:val="00065CC8"/>
    <w:rsid w:val="00077806"/>
    <w:rsid w:val="00093F65"/>
    <w:rsid w:val="000B048F"/>
    <w:rsid w:val="000B0D47"/>
    <w:rsid w:val="000E0E9C"/>
    <w:rsid w:val="000F04D9"/>
    <w:rsid w:val="00111552"/>
    <w:rsid w:val="00145268"/>
    <w:rsid w:val="00190112"/>
    <w:rsid w:val="001A68BA"/>
    <w:rsid w:val="00264697"/>
    <w:rsid w:val="002B7241"/>
    <w:rsid w:val="00376D1C"/>
    <w:rsid w:val="003802E2"/>
    <w:rsid w:val="003875F8"/>
    <w:rsid w:val="003A4F7D"/>
    <w:rsid w:val="003B2878"/>
    <w:rsid w:val="004317EA"/>
    <w:rsid w:val="00462FB2"/>
    <w:rsid w:val="00470B01"/>
    <w:rsid w:val="004A432B"/>
    <w:rsid w:val="00587E3C"/>
    <w:rsid w:val="006667DE"/>
    <w:rsid w:val="00691FC4"/>
    <w:rsid w:val="007F295E"/>
    <w:rsid w:val="008B72C9"/>
    <w:rsid w:val="008E3A26"/>
    <w:rsid w:val="008F0F91"/>
    <w:rsid w:val="0094501E"/>
    <w:rsid w:val="009641FD"/>
    <w:rsid w:val="00981CE2"/>
    <w:rsid w:val="00995096"/>
    <w:rsid w:val="009B5FD0"/>
    <w:rsid w:val="00A273EF"/>
    <w:rsid w:val="00A9586A"/>
    <w:rsid w:val="00B02BC2"/>
    <w:rsid w:val="00B37B77"/>
    <w:rsid w:val="00B73079"/>
    <w:rsid w:val="00BE4027"/>
    <w:rsid w:val="00C5269C"/>
    <w:rsid w:val="00CA4035"/>
    <w:rsid w:val="00CB283C"/>
    <w:rsid w:val="00D62785"/>
    <w:rsid w:val="00E40630"/>
    <w:rsid w:val="00EA3EBD"/>
    <w:rsid w:val="00EA6CE6"/>
    <w:rsid w:val="00EA7C1C"/>
    <w:rsid w:val="00EF7940"/>
    <w:rsid w:val="00F05B0E"/>
    <w:rsid w:val="00F070CE"/>
    <w:rsid w:val="00F10247"/>
    <w:rsid w:val="00F20BAB"/>
    <w:rsid w:val="00F37108"/>
    <w:rsid w:val="00F41194"/>
    <w:rsid w:val="00FB2F05"/>
    <w:rsid w:val="1A821532"/>
    <w:rsid w:val="1B256C8F"/>
    <w:rsid w:val="284F588B"/>
    <w:rsid w:val="302E7A82"/>
    <w:rsid w:val="36323F76"/>
    <w:rsid w:val="39353327"/>
    <w:rsid w:val="54B65BF1"/>
    <w:rsid w:val="6C706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99"/>
    <w:pPr>
      <w:spacing w:line="360" w:lineRule="auto"/>
      <w:ind w:firstLine="480"/>
    </w:pPr>
    <w:rPr>
      <w:kern w:val="0"/>
      <w:sz w:val="24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unhideWhenUsed/>
    <w:qFormat/>
    <w:uiPriority w:val="99"/>
    <w:rPr>
      <w:b/>
      <w:bCs/>
    </w:rPr>
  </w:style>
  <w:style w:type="character" w:styleId="10">
    <w:name w:val="annotation reference"/>
    <w:qFormat/>
    <w:uiPriority w:val="0"/>
    <w:rPr>
      <w:rFonts w:cs="Times New Roman"/>
      <w:sz w:val="32"/>
    </w:rPr>
  </w:style>
  <w:style w:type="character" w:customStyle="1" w:styleId="11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正文文本缩进 Char"/>
    <w:basedOn w:val="9"/>
    <w:link w:val="3"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7">
    <w:name w:val="批注主题 Char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574</Characters>
  <Lines>4</Lines>
  <Paragraphs>1</Paragraphs>
  <TotalTime>0</TotalTime>
  <ScaleCrop>false</ScaleCrop>
  <LinksUpToDate>false</LinksUpToDate>
  <CharactersWithSpaces>673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2019-11-11T07:20:00Z</dcterms:created>
  <dc:creator>yedole@moyo.gq</dc:creator>
  <cp:lastModifiedBy>Dr.Wei</cp:lastModifiedBy>
  <dcterms:modified xsi:type="dcterms:W3CDTF">2020-03-25T01:45:36Z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